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Highway Work Zone Traffic Control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Advance Warning Area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advance warning signs clearly visible and not obstructed by vegetation, parked vehicles, or other objects?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advance warning signs placed at the correct distances from the work zone based on the posted speed limit (refer to MUTCD Table 6C-1)?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correct types of advance warning signs used for the specific type of work being performed (e.g., Road Work Ahead, Right/Left Lane Closed Ahead)?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all advance warning signs exhibit adequate retroreflectivity, especially during nighttime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advance warning signs mounted at the correct height (minimum 7 feet above the roadway for overhead signs, minimum 5 feet for shoulder-mounted signs)?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advance warning signs securely mounted and resistant to wind and vibration?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PCMS is used, is it displaying clear, concise, and accurate information about the work zone?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advance warning signs free from damage, graffiti, or other obstructions that could reduce their effectiveness?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the advance warning signs match the approved Temporary Traffic Control (TTC) plan?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Taper Area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taper length appropriate for the posted speed limit, calculated using the L = WS formula (where L = taper length, W = width of offset, and S = posted speed limit)?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traffic control devices (cones, drums, or barricades) spaced correctly within the taper area (typically equal to the posted speed limit in feet)?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correct types of traffic control devices used for the taper (e.g., cones, drums, or barricades)?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traffic control devices in the taper area in good condition, clean, and free from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traffic control devices in the taper area highly visible, especially during nighttime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taper uniform and gradual, guiding traffic smoothly into the adjacent lane?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 adequate buffer space between the taper and the work area to protect workers from errant vehicles?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transverse tapers are used, are they properly configured and signed?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downstream taper present to return traffic to its original lane configuration?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Work Area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positive protection (e.g., concrete barriers or truck-mounted attenuators) provided to shield workers from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an attenuator is used, is it in good working condition and properly positioned?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high-visibility apparel (ANSI/ISEA 107 Class 2 or 3) appropriate for the work environment?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positioned to minimize worker exposure to traffic and to avoid obstructing visibility?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flagger station located in a safe and visible location, protected from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flagger equipped with a STOP/SLOW paddle, high-visibility apparel, and a communication device?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flaggers properly trained and certified in flagging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pedestrian access adequately addressed, with safe routes and appropriate signage?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for nighttime work, ensuring worker safety and visibility?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traffic properly channelized through the work area using cones, drums, or barricades?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Traffic Control Devices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cones at least 28 inches tall and made of retroreflective material?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drums clean, undamaged, and filled with ballast to prevent tipping?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correct types of barricades used (Type I, II, or III) based on the application?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barricades have retroreflective sheeting that meets MUTCD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channelizing devices spaced appropriately to guide traffic effectively?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traffic control devices clean and free of dirt, debris, or other obstructions that could reduce their visibility?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traffic control devices stable and resistant to wind and vibration?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traffic control devices placed according to the approved traffic control plan?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temporary pavement markings used where necessary to guide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temporary pavement markings exhibit adequate retroreflectivity?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Communication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approved Temporary Traffic Control (TTC) plan readily available on-site?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daily inspection logs being maintained to document the condition of traffic control devices?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clear communication protocols established between flaggers, supervisors, and equipment operators?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emergency contact information readily available on-site?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incident reporting procedures clearly defined and understood by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pre-shift briefings conducted to discuss potential hazards and safety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public been adequately notified of the work zone and potential traffic delays?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process in place for revising the traffic control plan if conditions change?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competent person been designated to oversee traffic control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Highway Work Zone Traffic Control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