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Portable Fire Extinguisher Monthly Inspection Log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US. NFPA 10 and OSHA 29 CFR 1910.157(e)(2) are US standards. The monthly visual inspection process is broadly applicable.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Inspection header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Facility name and address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 and date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Month and year of inspection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Monthly visual inspection (per unit)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Extinguisher ID / location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Accessibility: visible, unobscured, in designated location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Signage: clearly readable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Pressure gauge: needle in green operable range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Safety pin: in place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Tamper seal: completely unbroken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Physical condition: no rust, corrosion, dents, or leakage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Hose and nozzle: no cracks, debris, or dry rot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Heft check: feels completely full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Documentation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tag: initialed and dated on each unit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Electronic log: recorded if using digital tracking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Defective unit resolution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Defective unit removed from service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Replacement unit of same type and equal rating installed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Failed unit sent to certified service provider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Replacement extinguisher installed before the location is returned to service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NFPA 10: Standard for Portable Fire Extinguishers, §7.2.1.2 (2022)</w:t>
      </w:r>
    </w:p>
    <w:p>
      <w:pPr>
        <w:spacing w:after="60"/>
      </w:pPr>
      <w:r>
        <w:rPr>
          <w:sz w:val="18"/>
          <w:szCs w:val="18"/>
        </w:rPr>
        <w:t xml:space="preserve">OSHA 29 CFR 1910.157(e)(2) – Inspection and maintenance</w:t>
      </w:r>
    </w:p>
    <w:p>
      <w:pPr>
        <w:spacing w:after="60"/>
      </w:pPr>
      <w:r>
        <w:rPr>
          <w:sz w:val="18"/>
          <w:szCs w:val="18"/>
        </w:rPr>
        <w:t xml:space="preserve">NFPA 10 §7.3 – Maintenance</w:t>
      </w:r>
    </w:p>
    <w:p>
      <w:pPr>
        <w:spacing w:after="60"/>
      </w:pPr>
      <w:r>
        <w:rPr>
          <w:sz w:val="18"/>
          <w:szCs w:val="18"/>
        </w:rPr>
        <w:t xml:space="preserve">NFPA 10 §7.4 – Hydrostatic testing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Portable Fire Extinguisher Monthly Inspection Log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