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Lockout/Tagout (LOTO) Procedure Audit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p>
      <w:pPr>
        <w:spacing w:after="180"/>
      </w:pPr>
      <w:r>
        <w:rPr>
          <w:b/>
          <w:bCs/>
          <w:sz w:val="18"/>
          <w:szCs w:val="18"/>
        </w:rPr>
        <w:t xml:space="preserve">Jurisdiction: US. OSHA 29 CFR 1910.147 is the US standard for control of hazardous energy. Adaptable to other jurisdictions with LOTO-equivalent regulations.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Audit header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4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Field</w:t>
            </w:r>
          </w:p>
        </w:tc>
        <w:tc>
          <w:tcPr>
            <w:tcW w:type="pct" w:w="5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Entry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 / equipment name and location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 of periodic inspection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 (must be authorized employee other than those using the procedure)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  <w:tr>
        <w:tc>
          <w:tcPr>
            <w:tcW w:type="pct" w:w="4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Authorized employees involved in the inspection</w:t>
            </w:r>
          </w:p>
        </w:tc>
        <w:tc>
          <w:tcPr>
            <w:tcW w:type="pct" w:w="5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________________________________________________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Procedure accuracy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Machine-specific LOTO document: lists every current energy source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Isolation points: all identified and documented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Procedure up to date with current equipment configuration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Energy types covered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Electrical: breaker panels, disconnect switches – padlock and tag on main disconnect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Mechanical: flywheels, springs, gravity – blocking, cribbing, or chain restraints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Hydraulic: fluid pressure lines, accumulators – closing/locking valves, bleeding pressure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Pneumatic: compressed air lines – locking supply valves, venting residual air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Thermal: steam pipes, heating elements – locking control valves, cooldown time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Hardware condition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Locks: standardized, legible, mechanically intact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Tags: standardized, legible, not damaged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Hasps: sufficient for number of authorized employees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Application sequence verification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Employee shuts down machine per procedure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Energy sources systematically isolated as written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Verification of isolation: employee attempts to start machine to confirm energy is totally isolated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Employee interviews: demonstrates understanding of procedure, shift change, contractor scenarios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Certification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Inspection certification completed: identifies machine, date, employees, inspector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Retraining required: Yes / No (if employee demonstrated lack of understanding)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Retraining documented: Yes / No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signature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p>
      <w:pPr>
        <w:spacing w:after="100"/>
      </w:pPr>
      <w:r>
        <w:rPr>
          <w:b/>
          <w:bCs/>
          <w:sz w:val="24"/>
          <w:szCs w:val="24"/>
        </w:rPr>
        <w:t xml:space="preserve">References consulted</w:t>
      </w:r>
    </w:p>
    <w:p>
      <w:pPr>
        <w:spacing w:after="60"/>
      </w:pPr>
      <w:r>
        <w:rPr>
          <w:sz w:val="18"/>
          <w:szCs w:val="18"/>
        </w:rPr>
        <w:t xml:space="preserve">OSHA 29 CFR 1910.147 – The control of hazardous energy (lockout/tagout)</w:t>
      </w:r>
    </w:p>
    <w:p>
      <w:pPr>
        <w:spacing w:after="60"/>
      </w:pPr>
      <w:r>
        <w:rPr>
          <w:sz w:val="18"/>
          <w:szCs w:val="18"/>
        </w:rPr>
        <w:t xml:space="preserve">OSHA 1910.147(c)(6) – Periodic inspection</w:t>
      </w:r>
    </w:p>
    <w:p>
      <w:pPr>
        <w:spacing w:after="60"/>
      </w:pPr>
      <w:r>
        <w:rPr>
          <w:sz w:val="18"/>
          <w:szCs w:val="18"/>
        </w:rPr>
        <w:t xml:space="preserve">OSHA – LOTO eTool</w:t>
      </w:r>
    </w:p>
    <w:p>
      <w:pPr>
        <w:spacing w:after="60"/>
      </w:pPr>
      <w:r>
        <w:rPr>
          <w:sz w:val="18"/>
          <w:szCs w:val="18"/>
        </w:rPr>
        <w:t xml:space="preserve">NFPA 70E – Standard for Electrical Safety in the Workplace (2024)</w:t>
      </w:r>
    </w:p>
    <w:p>
      <w:pPr>
        <w:spacing w:after="120"/>
      </w:pPr>
      <w:r>
        <w:rPr>
          <w:sz w:val="17"/>
          <w:szCs w:val="17"/>
        </w:rPr>
        <w:t xml:space="preserve">Verify the current edition and local adoption before use.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Lockout/Tagout (LOTO) Procedure Audit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