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Equipment Inspection Checklist ()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Adaptable. Covers OSHA (US), ANSI, and ASME standards. Adaptable to other jurisdictions with equivalent work equipment regulations. Apply only the section and thresholds for the governing jurisdiction; do not combine US and UK requirements as if they were one code.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Equipment and inspection header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Equipment type and model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Equipment ID / serial number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Operator / inspector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 and shift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type (pre-use / operational / periodic)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Pre-use walkaround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Fluid leaks (hydraulic, engine oil, coolant, fuel)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Damaged hoses and fittings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Worn tires or tracks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Cracked frames or structural components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Missing or damaged guards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Damaged lights and reflectors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Loose or missing fasteners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Operator visibility (cracked glass, dirty windows)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Safety equipment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Seat belts: functional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ROPS / FOPS: intact, no cracks or unauthorized welds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Emergency stops: functional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Operator presence system: functional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Fire extinguisher: present and charged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Backup camera (if fitted): functional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Operational test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Gauges and warning lights: operational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Horn and backup alarm: functional and audible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Steering: responsive, no binding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Brakes: service, parking, emergency stop all functional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Throttle response: smooth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Hydraulic functions: smooth, no jerking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Lifting mechanisms and attachments: full range of motion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Periodic maintenance items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Fluid levels: engine oil, hydraulic, coolant, fuel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Filter condition indicators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Belt tension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Battery terminals and charge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Tire pressure and tread depth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Lubrication points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Defect tracking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Defect description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 / Fail rating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Equipment status (in service / out of service)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29 CFR 1910.178 – Powered industrial trucks</w:t>
      </w:r>
    </w:p>
    <w:p>
      <w:pPr>
        <w:spacing w:after="60"/>
      </w:pPr>
      <w:r>
        <w:rPr>
          <w:sz w:val="18"/>
          <w:szCs w:val="18"/>
        </w:rPr>
        <w:t xml:space="preserve">OSHA 29 CFR 1926.1400 – Cranes and derricks</w:t>
      </w:r>
    </w:p>
    <w:p>
      <w:pPr>
        <w:spacing w:after="60"/>
      </w:pPr>
      <w:r>
        <w:rPr>
          <w:sz w:val="18"/>
          <w:szCs w:val="18"/>
        </w:rPr>
        <w:t xml:space="preserve">OSHA 29 CFR 1910.67 and 1926.453 – Aerial lifts</w:t>
      </w:r>
    </w:p>
    <w:p>
      <w:pPr>
        <w:spacing w:after="60"/>
      </w:pPr>
      <w:r>
        <w:rPr>
          <w:sz w:val="18"/>
          <w:szCs w:val="18"/>
        </w:rPr>
        <w:t xml:space="preserve">ASME B30.5 – Mobile and locomotive cranes</w:t>
      </w:r>
    </w:p>
    <w:p>
      <w:pPr>
        <w:spacing w:after="60"/>
      </w:pPr>
      <w:r>
        <w:rPr>
          <w:sz w:val="18"/>
          <w:szCs w:val="18"/>
        </w:rPr>
        <w:t xml:space="preserve">ANSI A92 – Aerial work platforms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Equipment Inspection Checklist ()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