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Construction Site Daily Safety Inspection Report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Adaptable. Covers OSHA 29 CFR 1926 (US Fatal Four) and UK CDM 2015. Adaptable to other jurisdictions with construction safety regulations. Apply only the section and thresholds for the governing jurisdiction; do not combine US and UK requirements as if they were one code.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name and address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 (Principal Contractor / Competent Person)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 and time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Weather conditions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UK CDM 2015 compliance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Current Construction Phase Plan is available, reflects the work underway, and its relevant controls are implemented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RAMS verification: workers following approved method statements for high-risk work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Scaffolding: formally inspected before first use, after alteration, and at minimum every 7 days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Principal Contractor monitoring: suitable arrangements in place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OSHA Fatal Four: electrical safety and temporary power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Electrical cords: of fraying, correctly grounded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GFCI protection: functioning on all temporary power circuits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Exposed wiring: none in walkways or work areas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OSHA Fatal Four: fall prevention and floor openings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at 6 feet or more above lower level: protected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Guardrails: intact, proper height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Lifelines: anchored correctly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Floor openings (including skylights): covered and clearly marked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OSHA Fatal Four: struck-by and caught-in/between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Heavy equipment: operators using spotters, backup alarms functional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Material storage: secured against falling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Excavations: shored or sloped per depth requirements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Housekeeping and egress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Walkways: clear of wood with exposed nails, tangled cords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egress routes: unobstructed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Waste and debris: properly contained and removed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Competent person inspections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Excavations and trenching: daily inspection by competent person (5+ feet)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Scaffolding: inspected by competent person before each work shift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Competent person name and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Defect resolution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Hazards identified: description and location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 halted in affected zone: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documented and signed off by site management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Closed-loop verification: defect resolved and re-inspected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1926 – Safety and health regulations for construction</w:t>
      </w:r>
    </w:p>
    <w:p>
      <w:pPr>
        <w:spacing w:after="60"/>
      </w:pPr>
      <w:r>
        <w:rPr>
          <w:sz w:val="18"/>
          <w:szCs w:val="18"/>
        </w:rPr>
        <w:t xml:space="preserve">OSHA 29 CFR 1926.501 – Fall protection</w:t>
      </w:r>
    </w:p>
    <w:p>
      <w:pPr>
        <w:spacing w:after="60"/>
      </w:pPr>
      <w:r>
        <w:rPr>
          <w:sz w:val="18"/>
          <w:szCs w:val="18"/>
        </w:rPr>
        <w:t xml:space="preserve">UK HSE – CDM 2015 (Construction Design and Management Regulations 2015)</w:t>
      </w:r>
    </w:p>
    <w:p>
      <w:pPr>
        <w:spacing w:after="60"/>
      </w:pPr>
      <w:r>
        <w:rPr>
          <w:sz w:val="18"/>
          <w:szCs w:val="18"/>
        </w:rPr>
        <w:t xml:space="preserve">UK HSE – CDM 2015: The Construction (Design and Management) Regulations 2015 (L153)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Site Daily Safety Inspection Report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