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Building Maintenance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References OSHA 1910 standards (US). Adaptable to other jurisdictions by substituting local codes.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Facility and 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Facility name and address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 and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frequency (weekly / monthly / quarterly / annual)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Weather conditions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HVAC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Filter condition and last change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Coil cleanliness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Refrigerant levels (if applicable)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Condensate drain clear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Fan operation and vibration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 panel: labels legible, no signs of overheating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Breakers: no tripped or damaged breakers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lights: monthly test completed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Exit signs: illuminated and unobstructed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GFCI outlets: functional test in wet locations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Plumbing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Visible pipe condition (no corrosion, leaks)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Water heater: age, condition, T and P relief valve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Drains: clear, no standing water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Backflow preventers: tested and certified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Fire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extinguishers: monthly visual check completed, gauge in green, seal intact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alarm pull stations: accessible, not obstructed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Sprinkler heads: visible, undamaged, not painted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Exit signs and emergency lighting: illuminated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Structural and exterior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Walls and floors: cracks, water damage, trip hazards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Doors and hardware: operational, locks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Roof: membrane condition, flashing, penetrations (bi-annual)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Gutters and downspouts: clear of debris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Sidewalks and driveways: cracks, trip hazards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Handrails and guardrails: secure, no loose fittings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Corrective action and sign-off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Defects noted with location and description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assigned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Priority (immediate / scheduled)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1910.22 – Walking-working surfaces</w:t>
      </w:r>
    </w:p>
    <w:p>
      <w:pPr>
        <w:spacing w:after="60"/>
      </w:pPr>
      <w:r>
        <w:rPr>
          <w:sz w:val="18"/>
          <w:szCs w:val="18"/>
        </w:rPr>
        <w:t xml:space="preserve">OSHA 29 CFR 1910.37 – Exit routes</w:t>
      </w:r>
    </w:p>
    <w:p>
      <w:pPr>
        <w:spacing w:after="60"/>
      </w:pPr>
      <w:r>
        <w:rPr>
          <w:sz w:val="18"/>
          <w:szCs w:val="18"/>
        </w:rPr>
        <w:t xml:space="preserve">OSHA 29 CFR 1910.157 – Portable fire extinguishers</w:t>
      </w:r>
    </w:p>
    <w:p>
      <w:pPr>
        <w:spacing w:after="60"/>
      </w:pPr>
      <w:r>
        <w:rPr>
          <w:sz w:val="18"/>
          <w:szCs w:val="18"/>
        </w:rPr>
        <w:t xml:space="preserve">NFPA 101: Life Safety Code (2024)</w:t>
      </w:r>
    </w:p>
    <w:p>
      <w:pPr>
        <w:spacing w:after="60"/>
      </w:pPr>
      <w:r>
        <w:rPr>
          <w:sz w:val="18"/>
          <w:szCs w:val="18"/>
        </w:rPr>
        <w:t xml:space="preserve">NFPA 25: Standard for the Inspection, Testing, and Maintenance of Water-Based Fire Protection Systems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Maintenance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